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75F9" w14:textId="77777777" w:rsidR="00567A88" w:rsidRPr="003917E4" w:rsidRDefault="00567A88" w:rsidP="00815C98">
      <w:pPr>
        <w:pStyle w:val="Kehatekst"/>
        <w:rPr>
          <w:sz w:val="22"/>
          <w:szCs w:val="22"/>
        </w:rPr>
      </w:pPr>
    </w:p>
    <w:p w14:paraId="240CBF87" w14:textId="77777777" w:rsidR="00567A88" w:rsidRPr="003917E4" w:rsidRDefault="00567A88" w:rsidP="00815C98">
      <w:pPr>
        <w:pStyle w:val="Kehatekst"/>
        <w:rPr>
          <w:sz w:val="24"/>
          <w:szCs w:val="24"/>
        </w:rPr>
      </w:pPr>
    </w:p>
    <w:p w14:paraId="181C7171" w14:textId="77777777" w:rsidR="0071592D" w:rsidRPr="003917E4" w:rsidRDefault="0071592D" w:rsidP="00AF49DB">
      <w:pPr>
        <w:pStyle w:val="Kehatekst"/>
        <w:rPr>
          <w:sz w:val="28"/>
          <w:szCs w:val="28"/>
        </w:rPr>
      </w:pPr>
    </w:p>
    <w:p w14:paraId="1638B5E6" w14:textId="77777777" w:rsidR="00815C98" w:rsidRPr="003917E4" w:rsidRDefault="00A85C36" w:rsidP="00A85C36">
      <w:pPr>
        <w:pStyle w:val="Kehatekst"/>
        <w:rPr>
          <w:sz w:val="28"/>
          <w:szCs w:val="28"/>
        </w:rPr>
      </w:pPr>
      <w:r>
        <w:rPr>
          <w:sz w:val="28"/>
          <w:szCs w:val="28"/>
        </w:rPr>
        <w:t xml:space="preserve">KULTUURIMINISTEERIUMI RIIGIEELARVELISE TOETUSE KASUTAMISE </w:t>
      </w:r>
      <w:r w:rsidR="00815C98" w:rsidRPr="003917E4">
        <w:rPr>
          <w:sz w:val="28"/>
          <w:szCs w:val="28"/>
        </w:rPr>
        <w:t>LEPINGU</w:t>
      </w:r>
      <w:r w:rsidR="00CC4B82" w:rsidRPr="003917E4">
        <w:rPr>
          <w:sz w:val="28"/>
          <w:szCs w:val="28"/>
        </w:rPr>
        <w:t xml:space="preserve"> </w:t>
      </w:r>
      <w:r w:rsidR="00815C98" w:rsidRPr="003917E4">
        <w:rPr>
          <w:sz w:val="28"/>
          <w:szCs w:val="28"/>
        </w:rPr>
        <w:t>MUUTMISE AVALDUS</w:t>
      </w:r>
    </w:p>
    <w:p w14:paraId="18A6F4BA" w14:textId="77777777" w:rsidR="00432BA0" w:rsidRPr="003917E4" w:rsidRDefault="00432BA0" w:rsidP="00AF49DB">
      <w:pPr>
        <w:pStyle w:val="Kehatekst"/>
        <w:rPr>
          <w:sz w:val="28"/>
          <w:szCs w:val="28"/>
        </w:rPr>
      </w:pPr>
    </w:p>
    <w:p w14:paraId="58073193" w14:textId="77777777" w:rsidR="00815C98" w:rsidRPr="003917E4" w:rsidRDefault="00815C98" w:rsidP="00815C98">
      <w:pPr>
        <w:tabs>
          <w:tab w:val="left" w:pos="8640"/>
        </w:tabs>
        <w:spacing w:after="120"/>
        <w:ind w:right="-984"/>
        <w:jc w:val="both"/>
        <w:rPr>
          <w:sz w:val="22"/>
          <w:szCs w:val="22"/>
        </w:rPr>
      </w:pPr>
    </w:p>
    <w:tbl>
      <w:tblPr>
        <w:tblW w:w="9939" w:type="dxa"/>
        <w:tblLayout w:type="fixed"/>
        <w:tblCellMar>
          <w:left w:w="0" w:type="dxa"/>
          <w:right w:w="0" w:type="dxa"/>
        </w:tblCellMar>
        <w:tblLook w:val="0000" w:firstRow="0" w:lastRow="0" w:firstColumn="0" w:lastColumn="0" w:noHBand="0" w:noVBand="0"/>
      </w:tblPr>
      <w:tblGrid>
        <w:gridCol w:w="4583"/>
        <w:gridCol w:w="5356"/>
      </w:tblGrid>
      <w:tr w:rsidR="00DE2F23" w:rsidRPr="003917E4" w14:paraId="2F73D009" w14:textId="77777777" w:rsidTr="00BA0D3E">
        <w:trPr>
          <w:trHeight w:val="491"/>
        </w:trPr>
        <w:tc>
          <w:tcPr>
            <w:tcW w:w="4583" w:type="dxa"/>
            <w:tcBorders>
              <w:top w:val="threeDEmboss" w:sz="6" w:space="0" w:color="auto"/>
              <w:left w:val="threeDEmboss" w:sz="6" w:space="0" w:color="auto"/>
              <w:bottom w:val="threeDEmboss" w:sz="6" w:space="0" w:color="auto"/>
              <w:right w:val="threeDEmboss" w:sz="6" w:space="0" w:color="auto"/>
            </w:tcBorders>
          </w:tcPr>
          <w:p w14:paraId="2705C279" w14:textId="77777777" w:rsidR="00DE2F23" w:rsidRPr="003917E4" w:rsidRDefault="00DE2F23" w:rsidP="00BA0D3E">
            <w:pPr>
              <w:rPr>
                <w:b/>
                <w:sz w:val="22"/>
                <w:szCs w:val="22"/>
              </w:rPr>
            </w:pPr>
            <w:r w:rsidRPr="003917E4">
              <w:rPr>
                <w:b/>
                <w:sz w:val="22"/>
                <w:szCs w:val="22"/>
              </w:rPr>
              <w:t>Lepingu pool (toetuse saaja</w:t>
            </w:r>
            <w:r w:rsidR="00F21E32" w:rsidRPr="003917E4">
              <w:rPr>
                <w:b/>
                <w:sz w:val="22"/>
                <w:szCs w:val="22"/>
              </w:rPr>
              <w:t>)</w:t>
            </w:r>
          </w:p>
        </w:tc>
        <w:tc>
          <w:tcPr>
            <w:tcW w:w="5356" w:type="dxa"/>
            <w:tcBorders>
              <w:top w:val="threeDEmboss" w:sz="6" w:space="0" w:color="auto"/>
              <w:left w:val="threeDEmboss" w:sz="6" w:space="0" w:color="auto"/>
              <w:bottom w:val="threeDEmboss" w:sz="6" w:space="0" w:color="auto"/>
              <w:right w:val="threeDEmboss" w:sz="6" w:space="0" w:color="auto"/>
            </w:tcBorders>
          </w:tcPr>
          <w:p w14:paraId="23026F48" w14:textId="51371F6B" w:rsidR="00DE2F23" w:rsidRPr="003917E4" w:rsidRDefault="00D6754C" w:rsidP="00BA0D3E">
            <w:pPr>
              <w:rPr>
                <w:b/>
                <w:sz w:val="22"/>
                <w:szCs w:val="22"/>
              </w:rPr>
            </w:pPr>
            <w:r>
              <w:t>Sihtasutus Tartu 2024</w:t>
            </w:r>
          </w:p>
        </w:tc>
      </w:tr>
      <w:tr w:rsidR="00DE2F23" w:rsidRPr="003917E4" w14:paraId="31925D25" w14:textId="77777777" w:rsidTr="00BA0D3E">
        <w:trPr>
          <w:trHeight w:val="491"/>
        </w:trPr>
        <w:tc>
          <w:tcPr>
            <w:tcW w:w="4583" w:type="dxa"/>
            <w:tcBorders>
              <w:top w:val="threeDEmboss" w:sz="6" w:space="0" w:color="auto"/>
              <w:left w:val="threeDEmboss" w:sz="6" w:space="0" w:color="auto"/>
              <w:bottom w:val="threeDEmboss" w:sz="6" w:space="0" w:color="auto"/>
              <w:right w:val="threeDEmboss" w:sz="6" w:space="0" w:color="auto"/>
            </w:tcBorders>
          </w:tcPr>
          <w:p w14:paraId="0900A990" w14:textId="77777777" w:rsidR="00DE2F23" w:rsidRPr="003917E4" w:rsidRDefault="00DE2F23" w:rsidP="00BA0D3E">
            <w:pPr>
              <w:rPr>
                <w:b/>
                <w:sz w:val="22"/>
                <w:szCs w:val="22"/>
              </w:rPr>
            </w:pPr>
            <w:r w:rsidRPr="003917E4">
              <w:rPr>
                <w:b/>
                <w:sz w:val="22"/>
                <w:szCs w:val="22"/>
              </w:rPr>
              <w:t>Lepingu sõlmimise kuupäev</w:t>
            </w:r>
          </w:p>
        </w:tc>
        <w:tc>
          <w:tcPr>
            <w:tcW w:w="5356" w:type="dxa"/>
            <w:tcBorders>
              <w:top w:val="threeDEmboss" w:sz="6" w:space="0" w:color="auto"/>
              <w:left w:val="threeDEmboss" w:sz="6" w:space="0" w:color="auto"/>
              <w:bottom w:val="threeDEmboss" w:sz="6" w:space="0" w:color="auto"/>
              <w:right w:val="threeDEmboss" w:sz="6" w:space="0" w:color="auto"/>
            </w:tcBorders>
          </w:tcPr>
          <w:p w14:paraId="7975A6F1" w14:textId="38536B04" w:rsidR="00DE2F23" w:rsidRPr="003917E4" w:rsidRDefault="00D6754C" w:rsidP="00BA0D3E">
            <w:pPr>
              <w:rPr>
                <w:b/>
                <w:sz w:val="22"/>
                <w:szCs w:val="22"/>
              </w:rPr>
            </w:pPr>
            <w:r>
              <w:rPr>
                <w:b/>
                <w:sz w:val="22"/>
                <w:szCs w:val="22"/>
              </w:rPr>
              <w:t>15.01.2024</w:t>
            </w:r>
          </w:p>
        </w:tc>
      </w:tr>
      <w:tr w:rsidR="00DE2F23" w:rsidRPr="003917E4" w14:paraId="0B2A06D5" w14:textId="77777777" w:rsidTr="00BA0D3E">
        <w:trPr>
          <w:trHeight w:val="491"/>
        </w:trPr>
        <w:tc>
          <w:tcPr>
            <w:tcW w:w="4583" w:type="dxa"/>
            <w:tcBorders>
              <w:top w:val="threeDEmboss" w:sz="6" w:space="0" w:color="auto"/>
              <w:left w:val="threeDEmboss" w:sz="6" w:space="0" w:color="auto"/>
              <w:bottom w:val="threeDEmboss" w:sz="6" w:space="0" w:color="auto"/>
              <w:right w:val="threeDEmboss" w:sz="6" w:space="0" w:color="auto"/>
            </w:tcBorders>
          </w:tcPr>
          <w:p w14:paraId="570C1601" w14:textId="77777777" w:rsidR="00DE2F23" w:rsidRPr="003917E4" w:rsidRDefault="00DE2F23" w:rsidP="00BA0D3E">
            <w:pPr>
              <w:rPr>
                <w:b/>
                <w:sz w:val="22"/>
                <w:szCs w:val="22"/>
              </w:rPr>
            </w:pPr>
            <w:r w:rsidRPr="003917E4">
              <w:rPr>
                <w:b/>
                <w:sz w:val="22"/>
                <w:szCs w:val="22"/>
              </w:rPr>
              <w:t>Lepingu nr</w:t>
            </w:r>
          </w:p>
        </w:tc>
        <w:tc>
          <w:tcPr>
            <w:tcW w:w="5356" w:type="dxa"/>
            <w:tcBorders>
              <w:top w:val="threeDEmboss" w:sz="6" w:space="0" w:color="auto"/>
              <w:left w:val="threeDEmboss" w:sz="6" w:space="0" w:color="auto"/>
              <w:bottom w:val="threeDEmboss" w:sz="6" w:space="0" w:color="auto"/>
              <w:right w:val="threeDEmboss" w:sz="6" w:space="0" w:color="auto"/>
            </w:tcBorders>
          </w:tcPr>
          <w:p w14:paraId="05B4FBBC" w14:textId="73D2BD5C" w:rsidR="00DE2F23" w:rsidRPr="003917E4" w:rsidRDefault="00D6754C" w:rsidP="00BA0D3E">
            <w:pPr>
              <w:rPr>
                <w:b/>
                <w:sz w:val="22"/>
                <w:szCs w:val="22"/>
              </w:rPr>
            </w:pPr>
            <w:r>
              <w:t>7-1/27</w:t>
            </w:r>
          </w:p>
        </w:tc>
      </w:tr>
    </w:tbl>
    <w:p w14:paraId="6654E14F" w14:textId="77777777" w:rsidR="00E02EE6" w:rsidRPr="003917E4" w:rsidRDefault="00E02EE6" w:rsidP="00A51826">
      <w:pPr>
        <w:rPr>
          <w:sz w:val="22"/>
          <w:szCs w:val="22"/>
        </w:rPr>
      </w:pPr>
    </w:p>
    <w:p w14:paraId="61547BEC" w14:textId="77777777" w:rsidR="00A51826" w:rsidRPr="003917E4" w:rsidRDefault="00A51826" w:rsidP="00815C98">
      <w:pPr>
        <w:jc w:val="both"/>
        <w:rPr>
          <w:sz w:val="22"/>
          <w:szCs w:val="22"/>
        </w:rPr>
      </w:pPr>
    </w:p>
    <w:tbl>
      <w:tblPr>
        <w:tblW w:w="9960" w:type="dxa"/>
        <w:tblInd w:w="23" w:type="dxa"/>
        <w:tblLayout w:type="fixed"/>
        <w:tblCellMar>
          <w:left w:w="0" w:type="dxa"/>
          <w:right w:w="0" w:type="dxa"/>
        </w:tblCellMar>
        <w:tblLook w:val="0000" w:firstRow="0" w:lastRow="0" w:firstColumn="0" w:lastColumn="0" w:noHBand="0" w:noVBand="0"/>
      </w:tblPr>
      <w:tblGrid>
        <w:gridCol w:w="9960"/>
      </w:tblGrid>
      <w:tr w:rsidR="00CF2673" w:rsidRPr="003917E4" w14:paraId="36C2DB3C" w14:textId="77777777" w:rsidTr="00F16DEA">
        <w:trPr>
          <w:trHeight w:val="271"/>
        </w:trPr>
        <w:tc>
          <w:tcPr>
            <w:tcW w:w="9960" w:type="dxa"/>
            <w:tcBorders>
              <w:top w:val="threeDEmboss" w:sz="6" w:space="0" w:color="auto"/>
              <w:left w:val="threeDEmboss" w:sz="6" w:space="0" w:color="auto"/>
              <w:bottom w:val="threeDEmboss" w:sz="6" w:space="0" w:color="auto"/>
              <w:right w:val="threeDEmboss" w:sz="6" w:space="0" w:color="auto"/>
            </w:tcBorders>
          </w:tcPr>
          <w:p w14:paraId="0122FFFA" w14:textId="77777777" w:rsidR="00CF2673" w:rsidRPr="003917E4" w:rsidRDefault="00CF2673" w:rsidP="00942F88">
            <w:pPr>
              <w:jc w:val="both"/>
              <w:rPr>
                <w:b/>
                <w:sz w:val="22"/>
                <w:szCs w:val="22"/>
              </w:rPr>
            </w:pPr>
            <w:r w:rsidRPr="003917E4">
              <w:rPr>
                <w:b/>
                <w:sz w:val="22"/>
                <w:szCs w:val="22"/>
              </w:rPr>
              <w:t xml:space="preserve">Taotletav muutus </w:t>
            </w:r>
            <w:r w:rsidRPr="003917E4">
              <w:rPr>
                <w:sz w:val="22"/>
                <w:szCs w:val="22"/>
              </w:rPr>
              <w:t>(</w:t>
            </w:r>
            <w:r w:rsidRPr="003917E4">
              <w:rPr>
                <w:i/>
                <w:sz w:val="22"/>
                <w:szCs w:val="22"/>
              </w:rPr>
              <w:t>aruande esitamise tähtaja pikendamine või sihtotstarbe muutmine</w:t>
            </w:r>
            <w:r w:rsidR="00DC774D" w:rsidRPr="003917E4">
              <w:rPr>
                <w:b/>
                <w:sz w:val="22"/>
                <w:szCs w:val="22"/>
              </w:rPr>
              <w:t>) ja selle põhjendus</w:t>
            </w:r>
          </w:p>
        </w:tc>
      </w:tr>
      <w:tr w:rsidR="00C55E2E" w:rsidRPr="00C55E2E" w14:paraId="52933F13" w14:textId="77777777" w:rsidTr="00F16DEA">
        <w:trPr>
          <w:trHeight w:val="3312"/>
        </w:trPr>
        <w:tc>
          <w:tcPr>
            <w:tcW w:w="9960" w:type="dxa"/>
            <w:tcBorders>
              <w:top w:val="threeDEmboss" w:sz="6" w:space="0" w:color="auto"/>
              <w:left w:val="threeDEmboss" w:sz="6" w:space="0" w:color="auto"/>
              <w:bottom w:val="threeDEmboss" w:sz="6" w:space="0" w:color="auto"/>
              <w:right w:val="threeDEmboss" w:sz="6" w:space="0" w:color="auto"/>
            </w:tcBorders>
          </w:tcPr>
          <w:p w14:paraId="0DE2D85E" w14:textId="11326F84" w:rsidR="00CF2673" w:rsidRPr="00C55E2E" w:rsidRDefault="00CC2D83" w:rsidP="00D92131">
            <w:pPr>
              <w:rPr>
                <w:b/>
                <w:sz w:val="22"/>
                <w:szCs w:val="22"/>
              </w:rPr>
            </w:pPr>
            <w:r w:rsidRPr="00C55E2E">
              <w:rPr>
                <w:sz w:val="22"/>
                <w:szCs w:val="22"/>
              </w:rPr>
              <w:t xml:space="preserve">SA Tartu 2024 uuendas hankekorda 18.09.2023.a., mis jäi kahetsusväärselt tähelepanuta 2024.a. toetuslepingu sõlmimisel. Seega soovime muuta lepingu punkti 4.1.3, tõstes 10 000 euroni limiidi, millest alates tuleb võtta vähemalt kaks võrreldavat hinnapakkumist. </w:t>
            </w:r>
            <w:r w:rsidRPr="00C55E2E">
              <w:rPr>
                <w:sz w:val="22"/>
                <w:szCs w:val="22"/>
              </w:rPr>
              <w:br/>
            </w:r>
            <w:r w:rsidRPr="00C55E2E">
              <w:rPr>
                <w:sz w:val="22"/>
                <w:szCs w:val="22"/>
              </w:rPr>
              <w:br/>
              <w:t>Punkti 4.1.3 uue sõnastuse ettepanek</w:t>
            </w:r>
            <w:r w:rsidR="00F8263A" w:rsidRPr="00C55E2E">
              <w:rPr>
                <w:sz w:val="22"/>
                <w:szCs w:val="22"/>
              </w:rPr>
              <w:t xml:space="preserve"> tagasiulatuvalt 01.01.2024.a.</w:t>
            </w:r>
            <w:r w:rsidRPr="00C55E2E">
              <w:rPr>
                <w:sz w:val="22"/>
                <w:szCs w:val="22"/>
              </w:rPr>
              <w:t>:</w:t>
            </w:r>
            <w:r w:rsidRPr="00C55E2E">
              <w:rPr>
                <w:sz w:val="22"/>
                <w:szCs w:val="22"/>
              </w:rPr>
              <w:br/>
            </w:r>
            <w:r w:rsidRPr="00C55E2E">
              <w:t>4.1.3. järgima tegevusega seotud teenuste ostmisel riigihangete seaduse §-s 3 toodud põhimõtteid ning võtma vähemalt kaks võrreldavat hinnapakkumist üksteisest sõltumatult pakkujalt kõikide kulutuste kohta, mille korral toetuse saaja teeb tegevuste elluviimiseks üheliigiliste teenuste, materiaalsete või immateriaalsete varade ostutehingu, mille maksumus on ilma käibemaksuta võrdne 10 000 euroga või ületab seda. Juhul, kui kahte sõltumatut hinnapakkumist ei ole võimalik esitada või kui odavaimat pakkumist ei valita, tuleb esitada toetuse andjale sellekohane põhjendus</w:t>
            </w:r>
            <w:r w:rsidR="00C55E2E" w:rsidRPr="00C55E2E">
              <w:t xml:space="preserve"> tegevustoetuse aruandes;</w:t>
            </w:r>
          </w:p>
        </w:tc>
      </w:tr>
    </w:tbl>
    <w:p w14:paraId="75E7AD31" w14:textId="77777777" w:rsidR="00CF2673" w:rsidRPr="003917E4" w:rsidRDefault="00CF2673" w:rsidP="00815C98">
      <w:pPr>
        <w:jc w:val="both"/>
        <w:rPr>
          <w:sz w:val="22"/>
          <w:szCs w:val="22"/>
        </w:rPr>
      </w:pPr>
    </w:p>
    <w:tbl>
      <w:tblPr>
        <w:tblW w:w="9960" w:type="dxa"/>
        <w:tblInd w:w="23" w:type="dxa"/>
        <w:tblLayout w:type="fixed"/>
        <w:tblCellMar>
          <w:left w:w="0" w:type="dxa"/>
          <w:right w:w="0" w:type="dxa"/>
        </w:tblCellMar>
        <w:tblLook w:val="0000" w:firstRow="0" w:lastRow="0" w:firstColumn="0" w:lastColumn="0" w:noHBand="0" w:noVBand="0"/>
      </w:tblPr>
      <w:tblGrid>
        <w:gridCol w:w="4560"/>
        <w:gridCol w:w="3360"/>
        <w:gridCol w:w="2040"/>
      </w:tblGrid>
      <w:tr w:rsidR="00D83285" w:rsidRPr="003917E4" w14:paraId="7F52BD33" w14:textId="77777777" w:rsidTr="00F21E32">
        <w:trPr>
          <w:trHeight w:val="338"/>
        </w:trPr>
        <w:tc>
          <w:tcPr>
            <w:tcW w:w="4560" w:type="dxa"/>
            <w:tcBorders>
              <w:top w:val="threeDEmboss" w:sz="6" w:space="0" w:color="auto"/>
              <w:left w:val="threeDEmboss" w:sz="6" w:space="0" w:color="auto"/>
              <w:bottom w:val="threeDEmboss" w:sz="6" w:space="0" w:color="auto"/>
              <w:right w:val="threeDEmboss" w:sz="6" w:space="0" w:color="auto"/>
            </w:tcBorders>
          </w:tcPr>
          <w:p w14:paraId="53EC2337" w14:textId="77777777" w:rsidR="00D83285" w:rsidRPr="003917E4" w:rsidRDefault="002103D3" w:rsidP="00AE6DA1">
            <w:pPr>
              <w:rPr>
                <w:sz w:val="22"/>
                <w:szCs w:val="22"/>
              </w:rPr>
            </w:pPr>
            <w:r w:rsidRPr="003917E4">
              <w:rPr>
                <w:sz w:val="22"/>
                <w:szCs w:val="22"/>
              </w:rPr>
              <w:t>Avalduse esitaja</w:t>
            </w:r>
            <w:r w:rsidR="00D83285" w:rsidRPr="003917E4">
              <w:rPr>
                <w:sz w:val="22"/>
                <w:szCs w:val="22"/>
              </w:rPr>
              <w:t xml:space="preserve"> nimi ja ametikoht</w:t>
            </w:r>
          </w:p>
        </w:tc>
        <w:tc>
          <w:tcPr>
            <w:tcW w:w="3360" w:type="dxa"/>
            <w:tcBorders>
              <w:top w:val="threeDEmboss" w:sz="6" w:space="0" w:color="auto"/>
              <w:left w:val="threeDEmboss" w:sz="6" w:space="0" w:color="auto"/>
              <w:bottom w:val="threeDEmboss" w:sz="6" w:space="0" w:color="auto"/>
              <w:right w:val="threeDEmboss" w:sz="6" w:space="0" w:color="auto"/>
            </w:tcBorders>
          </w:tcPr>
          <w:p w14:paraId="250FDCE8" w14:textId="77777777" w:rsidR="00D83285" w:rsidRPr="003917E4" w:rsidRDefault="00D83285" w:rsidP="00B85542">
            <w:pPr>
              <w:rPr>
                <w:sz w:val="22"/>
                <w:szCs w:val="22"/>
              </w:rPr>
            </w:pPr>
            <w:r w:rsidRPr="003917E4">
              <w:rPr>
                <w:sz w:val="22"/>
                <w:szCs w:val="22"/>
              </w:rPr>
              <w:t>Allkiri</w:t>
            </w:r>
            <w:r w:rsidR="00F21E32" w:rsidRPr="003917E4">
              <w:rPr>
                <w:sz w:val="22"/>
                <w:szCs w:val="22"/>
              </w:rPr>
              <w:t xml:space="preserve"> / võib saata ka digitaalselt allkirjastatuna </w:t>
            </w:r>
          </w:p>
        </w:tc>
        <w:tc>
          <w:tcPr>
            <w:tcW w:w="2040" w:type="dxa"/>
            <w:tcBorders>
              <w:top w:val="threeDEmboss" w:sz="6" w:space="0" w:color="auto"/>
              <w:left w:val="threeDEmboss" w:sz="6" w:space="0" w:color="auto"/>
              <w:bottom w:val="threeDEmboss" w:sz="6" w:space="0" w:color="auto"/>
              <w:right w:val="threeDEmboss" w:sz="6" w:space="0" w:color="auto"/>
            </w:tcBorders>
          </w:tcPr>
          <w:p w14:paraId="6C9A87A5" w14:textId="77777777" w:rsidR="00D83285" w:rsidRPr="003917E4" w:rsidRDefault="00D83285" w:rsidP="00AE6DA1">
            <w:pPr>
              <w:rPr>
                <w:sz w:val="22"/>
                <w:szCs w:val="22"/>
              </w:rPr>
            </w:pPr>
            <w:r w:rsidRPr="003917E4">
              <w:rPr>
                <w:sz w:val="22"/>
                <w:szCs w:val="22"/>
              </w:rPr>
              <w:t>Kuupäev</w:t>
            </w:r>
          </w:p>
        </w:tc>
      </w:tr>
      <w:tr w:rsidR="00D83285" w:rsidRPr="003917E4" w14:paraId="1BBEE2C4" w14:textId="77777777" w:rsidTr="00F21E32">
        <w:trPr>
          <w:trHeight w:val="436"/>
        </w:trPr>
        <w:tc>
          <w:tcPr>
            <w:tcW w:w="4560" w:type="dxa"/>
            <w:tcBorders>
              <w:top w:val="threeDEmboss" w:sz="6" w:space="0" w:color="auto"/>
              <w:left w:val="threeDEmboss" w:sz="6" w:space="0" w:color="auto"/>
              <w:bottom w:val="threeDEmboss" w:sz="6" w:space="0" w:color="auto"/>
              <w:right w:val="threeDEmboss" w:sz="6" w:space="0" w:color="auto"/>
            </w:tcBorders>
          </w:tcPr>
          <w:p w14:paraId="0FD3AF77" w14:textId="7C22EEE0" w:rsidR="00270B11" w:rsidRPr="003917E4" w:rsidRDefault="00D6754C" w:rsidP="00395470">
            <w:pPr>
              <w:rPr>
                <w:sz w:val="22"/>
                <w:szCs w:val="22"/>
              </w:rPr>
            </w:pPr>
            <w:r>
              <w:t>Kuldar Leis</w:t>
            </w:r>
          </w:p>
          <w:p w14:paraId="46FF1197" w14:textId="77777777" w:rsidR="00270B11" w:rsidRPr="003917E4" w:rsidRDefault="00270B11" w:rsidP="00395470">
            <w:pPr>
              <w:rPr>
                <w:sz w:val="22"/>
                <w:szCs w:val="22"/>
              </w:rPr>
            </w:pPr>
          </w:p>
        </w:tc>
        <w:tc>
          <w:tcPr>
            <w:tcW w:w="3360" w:type="dxa"/>
            <w:tcBorders>
              <w:top w:val="threeDEmboss" w:sz="6" w:space="0" w:color="auto"/>
              <w:left w:val="threeDEmboss" w:sz="6" w:space="0" w:color="auto"/>
              <w:bottom w:val="threeDEmboss" w:sz="6" w:space="0" w:color="auto"/>
              <w:right w:val="threeDEmboss" w:sz="6" w:space="0" w:color="auto"/>
            </w:tcBorders>
          </w:tcPr>
          <w:p w14:paraId="4252B1E3" w14:textId="1DE1B24E" w:rsidR="00D83285" w:rsidRPr="003917E4" w:rsidRDefault="00D6754C" w:rsidP="00395470">
            <w:pPr>
              <w:rPr>
                <w:sz w:val="22"/>
                <w:szCs w:val="22"/>
              </w:rPr>
            </w:pPr>
            <w:r>
              <w:rPr>
                <w:sz w:val="22"/>
                <w:szCs w:val="22"/>
              </w:rPr>
              <w:t>Allkirjastatud digitaalselt</w:t>
            </w:r>
          </w:p>
        </w:tc>
        <w:tc>
          <w:tcPr>
            <w:tcW w:w="2040" w:type="dxa"/>
            <w:tcBorders>
              <w:top w:val="threeDEmboss" w:sz="6" w:space="0" w:color="auto"/>
              <w:left w:val="threeDEmboss" w:sz="6" w:space="0" w:color="auto"/>
              <w:bottom w:val="threeDEmboss" w:sz="6" w:space="0" w:color="auto"/>
              <w:right w:val="threeDEmboss" w:sz="6" w:space="0" w:color="auto"/>
            </w:tcBorders>
          </w:tcPr>
          <w:p w14:paraId="797F17BF" w14:textId="2FE20C0A" w:rsidR="00D83285" w:rsidRPr="003917E4" w:rsidRDefault="00D6754C" w:rsidP="008E43AF">
            <w:pPr>
              <w:rPr>
                <w:sz w:val="22"/>
                <w:szCs w:val="22"/>
              </w:rPr>
            </w:pPr>
            <w:r>
              <w:rPr>
                <w:sz w:val="22"/>
                <w:szCs w:val="22"/>
              </w:rPr>
              <w:t>19.03.2024</w:t>
            </w:r>
          </w:p>
        </w:tc>
      </w:tr>
    </w:tbl>
    <w:p w14:paraId="050E2DBB" w14:textId="77777777" w:rsidR="00D83285" w:rsidRPr="003917E4" w:rsidRDefault="00D83285" w:rsidP="0071592D">
      <w:pPr>
        <w:jc w:val="both"/>
      </w:pPr>
    </w:p>
    <w:sectPr w:rsidR="00D83285" w:rsidRPr="003917E4" w:rsidSect="0089631A">
      <w:pgSz w:w="11906" w:h="16838" w:code="9"/>
      <w:pgMar w:top="1134" w:right="102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0"/>
  </w:compat>
  <w:rsids>
    <w:rsidRoot w:val="00D05327"/>
    <w:rsid w:val="000068D0"/>
    <w:rsid w:val="00022571"/>
    <w:rsid w:val="0003279D"/>
    <w:rsid w:val="0004105A"/>
    <w:rsid w:val="0006544C"/>
    <w:rsid w:val="000E657C"/>
    <w:rsid w:val="00104A75"/>
    <w:rsid w:val="00163159"/>
    <w:rsid w:val="001B2E44"/>
    <w:rsid w:val="001C2B2D"/>
    <w:rsid w:val="001C5EA0"/>
    <w:rsid w:val="00204321"/>
    <w:rsid w:val="002103D3"/>
    <w:rsid w:val="00224C5B"/>
    <w:rsid w:val="00270B11"/>
    <w:rsid w:val="00271519"/>
    <w:rsid w:val="002A3E12"/>
    <w:rsid w:val="003144AB"/>
    <w:rsid w:val="00321D7C"/>
    <w:rsid w:val="00382880"/>
    <w:rsid w:val="003917E4"/>
    <w:rsid w:val="00395470"/>
    <w:rsid w:val="003E6013"/>
    <w:rsid w:val="004020A8"/>
    <w:rsid w:val="00407D32"/>
    <w:rsid w:val="00426738"/>
    <w:rsid w:val="00432BA0"/>
    <w:rsid w:val="00440FB1"/>
    <w:rsid w:val="004572CD"/>
    <w:rsid w:val="00462D91"/>
    <w:rsid w:val="004A3611"/>
    <w:rsid w:val="004B13D3"/>
    <w:rsid w:val="004C3929"/>
    <w:rsid w:val="004E10E7"/>
    <w:rsid w:val="004E29E3"/>
    <w:rsid w:val="004E2C1F"/>
    <w:rsid w:val="0050142C"/>
    <w:rsid w:val="00504294"/>
    <w:rsid w:val="00505DD1"/>
    <w:rsid w:val="00567A88"/>
    <w:rsid w:val="005A45D2"/>
    <w:rsid w:val="005C0078"/>
    <w:rsid w:val="005D680A"/>
    <w:rsid w:val="005F72A3"/>
    <w:rsid w:val="00650AFC"/>
    <w:rsid w:val="00670D62"/>
    <w:rsid w:val="006B7DB2"/>
    <w:rsid w:val="006C33CB"/>
    <w:rsid w:val="006C6AC1"/>
    <w:rsid w:val="0071592D"/>
    <w:rsid w:val="007161D1"/>
    <w:rsid w:val="00724914"/>
    <w:rsid w:val="00747B6B"/>
    <w:rsid w:val="007709C6"/>
    <w:rsid w:val="007829F3"/>
    <w:rsid w:val="007B5934"/>
    <w:rsid w:val="007C0688"/>
    <w:rsid w:val="007D371C"/>
    <w:rsid w:val="007F1383"/>
    <w:rsid w:val="00815C98"/>
    <w:rsid w:val="00872CBE"/>
    <w:rsid w:val="00881C1E"/>
    <w:rsid w:val="0089631A"/>
    <w:rsid w:val="008B5823"/>
    <w:rsid w:val="008E43AF"/>
    <w:rsid w:val="00940E73"/>
    <w:rsid w:val="00942F88"/>
    <w:rsid w:val="00957C92"/>
    <w:rsid w:val="00960D7A"/>
    <w:rsid w:val="00967A90"/>
    <w:rsid w:val="00990E00"/>
    <w:rsid w:val="009A7298"/>
    <w:rsid w:val="009B0578"/>
    <w:rsid w:val="00A32405"/>
    <w:rsid w:val="00A36DDB"/>
    <w:rsid w:val="00A4224B"/>
    <w:rsid w:val="00A43D09"/>
    <w:rsid w:val="00A51826"/>
    <w:rsid w:val="00A633E4"/>
    <w:rsid w:val="00A85C36"/>
    <w:rsid w:val="00AA2851"/>
    <w:rsid w:val="00AE19D8"/>
    <w:rsid w:val="00AE4279"/>
    <w:rsid w:val="00AE61B7"/>
    <w:rsid w:val="00AE6DA1"/>
    <w:rsid w:val="00AE750A"/>
    <w:rsid w:val="00AF1C5D"/>
    <w:rsid w:val="00AF3CAB"/>
    <w:rsid w:val="00AF49DB"/>
    <w:rsid w:val="00B05F3E"/>
    <w:rsid w:val="00B060CB"/>
    <w:rsid w:val="00B40D24"/>
    <w:rsid w:val="00B560C7"/>
    <w:rsid w:val="00B85542"/>
    <w:rsid w:val="00BA0D3E"/>
    <w:rsid w:val="00BE02BD"/>
    <w:rsid w:val="00BF36B4"/>
    <w:rsid w:val="00C205C9"/>
    <w:rsid w:val="00C55E2E"/>
    <w:rsid w:val="00C612A8"/>
    <w:rsid w:val="00C86069"/>
    <w:rsid w:val="00CA4288"/>
    <w:rsid w:val="00CC2D83"/>
    <w:rsid w:val="00CC4B82"/>
    <w:rsid w:val="00CE3732"/>
    <w:rsid w:val="00CF2673"/>
    <w:rsid w:val="00D05327"/>
    <w:rsid w:val="00D07E0C"/>
    <w:rsid w:val="00D116CA"/>
    <w:rsid w:val="00D137A9"/>
    <w:rsid w:val="00D16D0E"/>
    <w:rsid w:val="00D6754C"/>
    <w:rsid w:val="00D72B1B"/>
    <w:rsid w:val="00D83285"/>
    <w:rsid w:val="00D92131"/>
    <w:rsid w:val="00DC774D"/>
    <w:rsid w:val="00DE2F23"/>
    <w:rsid w:val="00E02EE6"/>
    <w:rsid w:val="00E87504"/>
    <w:rsid w:val="00E96118"/>
    <w:rsid w:val="00EA1913"/>
    <w:rsid w:val="00EA1F86"/>
    <w:rsid w:val="00EB083E"/>
    <w:rsid w:val="00EC1E39"/>
    <w:rsid w:val="00EE6B32"/>
    <w:rsid w:val="00F16DEA"/>
    <w:rsid w:val="00F2125C"/>
    <w:rsid w:val="00F21E32"/>
    <w:rsid w:val="00F8263A"/>
    <w:rsid w:val="00F834EF"/>
    <w:rsid w:val="00FA3F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26DD7"/>
  <w14:defaultImageDpi w14:val="0"/>
  <w15:docId w15:val="{BA09D444-B615-434D-89E8-E0FF5213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15C98"/>
    <w:pPr>
      <w:spacing w:after="0" w:line="240" w:lineRule="auto"/>
    </w:pPr>
    <w:rPr>
      <w:sz w:val="20"/>
      <w:szCs w:val="20"/>
      <w:lang w:val="et-EE"/>
    </w:rPr>
  </w:style>
  <w:style w:type="paragraph" w:styleId="Pealkiri3">
    <w:name w:val="heading 3"/>
    <w:basedOn w:val="Normaallaad"/>
    <w:next w:val="Normaallaad"/>
    <w:link w:val="Pealkiri3Mrk"/>
    <w:uiPriority w:val="99"/>
    <w:qFormat/>
    <w:rsid w:val="00815C98"/>
    <w:pPr>
      <w:keepNext/>
      <w:autoSpaceDE w:val="0"/>
      <w:autoSpaceDN w:val="0"/>
      <w:jc w:val="both"/>
      <w:outlineLvl w:val="2"/>
    </w:pPr>
    <w:rPr>
      <w:i/>
      <w:iCs/>
      <w:sz w:val="22"/>
      <w:szCs w:val="22"/>
    </w:rPr>
  </w:style>
  <w:style w:type="paragraph" w:styleId="Pealkiri4">
    <w:name w:val="heading 4"/>
    <w:basedOn w:val="Normaallaad"/>
    <w:next w:val="Normaallaad"/>
    <w:link w:val="Pealkiri4Mrk"/>
    <w:uiPriority w:val="99"/>
    <w:qFormat/>
    <w:rsid w:val="00815C98"/>
    <w:pPr>
      <w:keepNext/>
      <w:autoSpaceDE w:val="0"/>
      <w:autoSpaceDN w:val="0"/>
      <w:ind w:left="720" w:hanging="720"/>
      <w:jc w:val="center"/>
      <w:outlineLvl w:val="3"/>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semiHidden/>
    <w:locked/>
    <w:rsid w:val="0004105A"/>
    <w:rPr>
      <w:rFonts w:asciiTheme="majorHAnsi" w:eastAsiaTheme="majorEastAsia" w:hAnsiTheme="majorHAnsi" w:cs="Times New Roman"/>
      <w:b/>
      <w:bCs/>
      <w:sz w:val="26"/>
      <w:szCs w:val="26"/>
      <w:lang w:val="et-EE" w:eastAsia="x-none"/>
    </w:rPr>
  </w:style>
  <w:style w:type="character" w:customStyle="1" w:styleId="Pealkiri4Mrk">
    <w:name w:val="Pealkiri 4 Märk"/>
    <w:basedOn w:val="Liguvaikefont"/>
    <w:link w:val="Pealkiri4"/>
    <w:uiPriority w:val="9"/>
    <w:semiHidden/>
    <w:locked/>
    <w:rsid w:val="0004105A"/>
    <w:rPr>
      <w:rFonts w:asciiTheme="minorHAnsi" w:eastAsiaTheme="minorEastAsia" w:hAnsiTheme="minorHAnsi" w:cs="Times New Roman"/>
      <w:b/>
      <w:bCs/>
      <w:sz w:val="28"/>
      <w:szCs w:val="28"/>
      <w:lang w:val="et-EE" w:eastAsia="x-none"/>
    </w:rPr>
  </w:style>
  <w:style w:type="paragraph" w:styleId="Kehatekst">
    <w:name w:val="Body Text"/>
    <w:basedOn w:val="Normaallaad"/>
    <w:link w:val="KehatekstMrk"/>
    <w:uiPriority w:val="99"/>
    <w:rsid w:val="00815C98"/>
    <w:pPr>
      <w:jc w:val="center"/>
    </w:pPr>
    <w:rPr>
      <w:b/>
      <w:bCs/>
    </w:rPr>
  </w:style>
  <w:style w:type="character" w:customStyle="1" w:styleId="KehatekstMrk">
    <w:name w:val="Kehatekst Märk"/>
    <w:basedOn w:val="Liguvaikefont"/>
    <w:link w:val="Kehatekst"/>
    <w:uiPriority w:val="99"/>
    <w:semiHidden/>
    <w:locked/>
    <w:rsid w:val="0004105A"/>
    <w:rPr>
      <w:rFonts w:cs="Times New Roman"/>
      <w:sz w:val="20"/>
      <w:szCs w:val="20"/>
      <w:lang w:val="et-EE" w:eastAsia="x-none"/>
    </w:rPr>
  </w:style>
  <w:style w:type="paragraph" w:styleId="Jutumullitekst">
    <w:name w:val="Balloon Text"/>
    <w:basedOn w:val="Normaallaad"/>
    <w:link w:val="JutumullitekstMrk"/>
    <w:uiPriority w:val="99"/>
    <w:semiHidden/>
    <w:rsid w:val="00F21E32"/>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04105A"/>
    <w:rPr>
      <w:rFonts w:ascii="Tahoma" w:hAnsi="Tahoma" w:cs="Tahoma"/>
      <w:sz w:val="16"/>
      <w:szCs w:val="16"/>
      <w:lang w:val="et-EE" w:eastAsia="x-none"/>
    </w:rPr>
  </w:style>
  <w:style w:type="character" w:styleId="Hperlink">
    <w:name w:val="Hyperlink"/>
    <w:basedOn w:val="Liguvaikefont"/>
    <w:uiPriority w:val="99"/>
    <w:rsid w:val="00F21E3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01901">
      <w:marLeft w:val="0"/>
      <w:marRight w:val="0"/>
      <w:marTop w:val="0"/>
      <w:marBottom w:val="0"/>
      <w:divBdr>
        <w:top w:val="none" w:sz="0" w:space="0" w:color="auto"/>
        <w:left w:val="none" w:sz="0" w:space="0" w:color="auto"/>
        <w:bottom w:val="none" w:sz="0" w:space="0" w:color="auto"/>
        <w:right w:val="none" w:sz="0" w:space="0" w:color="auto"/>
      </w:divBdr>
    </w:div>
    <w:div w:id="341901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urk\AppData\Local\Microsoft\Windows\Temporary%20Internet%20Files\Content.Outlook\V1AZIVZD\RIIGIEELARVELISE%20TOETUSE%20KASUTAMISE%20LEPING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D447D-C0E6-46A2-B348-F484EEC6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RIIGIEELARVELISE TOETUSE KASUTAMISE LEPINGU</Template>
  <TotalTime>171</TotalTime>
  <Pages>1</Pages>
  <Words>206</Words>
  <Characters>1179</Characters>
  <Application>Microsoft Office Word</Application>
  <DocSecurity>0</DocSecurity>
  <Lines>9</Lines>
  <Paragraphs>2</Paragraphs>
  <ScaleCrop>false</ScaleCrop>
  <Company>Kultuuriministeerium</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RIIGIEELARVELISE TOETUSE KASUTAMISE LEPINGU</dc:title>
  <dc:subject/>
  <dc:creator>mari.nurk</dc:creator>
  <cp:keywords/>
  <dc:description/>
  <cp:lastModifiedBy>Kuldar Leis</cp:lastModifiedBy>
  <cp:revision>6</cp:revision>
  <dcterms:created xsi:type="dcterms:W3CDTF">2024-03-19T07:50:00Z</dcterms:created>
  <dcterms:modified xsi:type="dcterms:W3CDTF">2024-03-19T11:25:00Z</dcterms:modified>
</cp:coreProperties>
</file>